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7B9E" w14:textId="66D8F6BF" w:rsidR="00792273" w:rsidRPr="00792273" w:rsidRDefault="00792273" w:rsidP="00792273">
      <w:pPr>
        <w:rPr>
          <w:rStyle w:val="Fett"/>
          <w:rFonts w:cstheme="minorHAnsi"/>
          <w:szCs w:val="22"/>
        </w:rPr>
      </w:pPr>
      <w:r w:rsidRPr="00792273">
        <w:rPr>
          <w:rStyle w:val="Fett"/>
          <w:rFonts w:cstheme="minorHAnsi"/>
          <w:szCs w:val="22"/>
        </w:rPr>
        <w:t>Projektron BCS 23.1: Projektmanagement einfach effizienter</w:t>
      </w:r>
    </w:p>
    <w:p w14:paraId="6B550123" w14:textId="77777777" w:rsidR="00792273" w:rsidRPr="007A41DE" w:rsidRDefault="00792273" w:rsidP="00792273">
      <w:pPr>
        <w:rPr>
          <w:rFonts w:cstheme="minorHAnsi"/>
          <w:szCs w:val="22"/>
        </w:rPr>
      </w:pPr>
    </w:p>
    <w:p w14:paraId="576FC6A0" w14:textId="56D690F8" w:rsidR="00792273" w:rsidRPr="00792273" w:rsidRDefault="00E5466D" w:rsidP="00792273">
      <w:pPr>
        <w:spacing w:after="225" w:line="300" w:lineRule="atLeast"/>
        <w:textAlignment w:val="baseline"/>
        <w:rPr>
          <w:rFonts w:cstheme="minorHAnsi"/>
          <w:szCs w:val="22"/>
        </w:rPr>
      </w:pPr>
      <w:r w:rsidRPr="00E5466D">
        <w:rPr>
          <w:rFonts w:cstheme="minorHAnsi"/>
          <w:b/>
          <w:szCs w:val="22"/>
        </w:rPr>
        <w:t>Berlin</w:t>
      </w:r>
      <w:r w:rsidRPr="00E5466D">
        <w:rPr>
          <w:rFonts w:cstheme="minorHAnsi"/>
          <w:b/>
          <w:szCs w:val="22"/>
        </w:rPr>
        <w:t>,</w:t>
      </w:r>
      <w:r w:rsidRPr="00E5466D">
        <w:rPr>
          <w:rFonts w:cstheme="minorHAnsi"/>
          <w:b/>
          <w:szCs w:val="22"/>
        </w:rPr>
        <w:t xml:space="preserve"> 04</w:t>
      </w:r>
      <w:r w:rsidRPr="00E5466D">
        <w:rPr>
          <w:rFonts w:cstheme="minorHAnsi"/>
          <w:b/>
          <w:szCs w:val="22"/>
        </w:rPr>
        <w:t>. Ju</w:t>
      </w:r>
      <w:r w:rsidRPr="00E5466D">
        <w:rPr>
          <w:rFonts w:cstheme="minorHAnsi"/>
          <w:b/>
          <w:szCs w:val="22"/>
        </w:rPr>
        <w:t>l</w:t>
      </w:r>
      <w:r w:rsidRPr="00E5466D">
        <w:rPr>
          <w:rFonts w:cstheme="minorHAnsi"/>
          <w:b/>
          <w:szCs w:val="22"/>
        </w:rPr>
        <w:t xml:space="preserve">i 2023. </w:t>
      </w:r>
      <w:r w:rsidR="00792273" w:rsidRPr="00E5466D">
        <w:rPr>
          <w:rFonts w:cstheme="minorHAnsi"/>
          <w:szCs w:val="22"/>
        </w:rPr>
        <w:t xml:space="preserve">Bessere </w:t>
      </w:r>
      <w:r w:rsidR="00792273" w:rsidRPr="00792273">
        <w:rPr>
          <w:rFonts w:cstheme="minorHAnsi"/>
          <w:szCs w:val="22"/>
        </w:rPr>
        <w:t>Performance, effizientere Dateneingabe und mehr Sicherheit: Die Neuerungen der Version 23.1 von Projektron BCS verschaffen allen Anwendern eine Zeitersparnis bei der Arbeit mit der Projektmanagement-Software. Vor allem Projektleiter profitieren bei der Einsatz- und Ablaufplanung von kürzeren Ladezeiten.</w:t>
      </w:r>
    </w:p>
    <w:p w14:paraId="7623D0DF" w14:textId="77777777" w:rsidR="00792273" w:rsidRPr="00792273" w:rsidRDefault="00792273" w:rsidP="00792273">
      <w:pPr>
        <w:spacing w:after="225" w:line="300" w:lineRule="atLeast"/>
        <w:textAlignment w:val="baseline"/>
        <w:rPr>
          <w:rFonts w:cstheme="minorHAnsi"/>
          <w:szCs w:val="22"/>
        </w:rPr>
      </w:pPr>
      <w:r w:rsidRPr="00792273">
        <w:rPr>
          <w:rFonts w:cstheme="minorHAnsi"/>
          <w:szCs w:val="22"/>
        </w:rPr>
        <w:t>Eine der herausragenden Neuerungen in Projektron BCS 23.1 ist das Copy-</w:t>
      </w:r>
      <w:proofErr w:type="spellStart"/>
      <w:r w:rsidRPr="00792273">
        <w:rPr>
          <w:rFonts w:cstheme="minorHAnsi"/>
          <w:szCs w:val="22"/>
        </w:rPr>
        <w:t>by</w:t>
      </w:r>
      <w:proofErr w:type="spellEnd"/>
      <w:r w:rsidRPr="00792273">
        <w:rPr>
          <w:rFonts w:cstheme="minorHAnsi"/>
          <w:szCs w:val="22"/>
        </w:rPr>
        <w:t>-</w:t>
      </w:r>
      <w:proofErr w:type="spellStart"/>
      <w:r w:rsidRPr="00792273">
        <w:rPr>
          <w:rFonts w:cstheme="minorHAnsi"/>
          <w:szCs w:val="22"/>
        </w:rPr>
        <w:t>Dragging</w:t>
      </w:r>
      <w:proofErr w:type="spellEnd"/>
      <w:r w:rsidRPr="00792273">
        <w:rPr>
          <w:rFonts w:cstheme="minorHAnsi"/>
          <w:szCs w:val="22"/>
        </w:rPr>
        <w:t>. Diese Funktion, die vielen Excel-Anwendern bekannt ist, erlaubt eine vereinfachte Eingabe gleicher Werte durch einfaches Ziehen einer Zelle. Das ist nun auch in Projektron BCS möglich. Das führt zu Zeit- und Aufwandsersparnis bei der manuellen Eingabe von Daten in vielen Ansichten der Software.</w:t>
      </w:r>
    </w:p>
    <w:p w14:paraId="5710F8AA" w14:textId="77777777" w:rsidR="00792273" w:rsidRPr="00792273" w:rsidRDefault="00792273" w:rsidP="00792273">
      <w:pPr>
        <w:spacing w:after="225" w:line="300" w:lineRule="atLeast"/>
        <w:textAlignment w:val="baseline"/>
        <w:rPr>
          <w:rFonts w:cstheme="minorHAnsi"/>
          <w:szCs w:val="22"/>
        </w:rPr>
      </w:pPr>
      <w:r w:rsidRPr="00792273">
        <w:rPr>
          <w:rFonts w:cstheme="minorHAnsi"/>
          <w:szCs w:val="22"/>
        </w:rPr>
        <w:t>Die Einsatz- und Ablaufplanung der neuesten Version von Projektron BCS hat deutlich kürzere Ladezeiten. Dies spart Projektmanagern und Teammitgliedern wertvolle Zeit und steigert die Produktivität. Die Auslastungsanzeige von Personengruppen im Projekt- und Zeitplan bietet eine verbesserte Übersicht und Transparenz. Nutzer können nun die Auslastung ihrer Teams besser im Blick behalten und Ressourcen effektiver planen, um eine optimale Projektdurchführung sicherzustellen.</w:t>
      </w:r>
    </w:p>
    <w:p w14:paraId="41208320" w14:textId="77777777" w:rsidR="00792273" w:rsidRPr="00792273" w:rsidRDefault="00792273" w:rsidP="00792273">
      <w:pPr>
        <w:spacing w:after="225" w:line="300" w:lineRule="atLeast"/>
        <w:textAlignment w:val="baseline"/>
        <w:rPr>
          <w:rFonts w:cstheme="minorHAnsi"/>
          <w:szCs w:val="22"/>
        </w:rPr>
      </w:pPr>
      <w:r w:rsidRPr="00792273">
        <w:rPr>
          <w:rFonts w:cstheme="minorHAnsi"/>
          <w:szCs w:val="22"/>
        </w:rPr>
        <w:t>Eine weitere Leistungsverbesserung von Projektron BCS 23.1 betrifft die Eingabe von Abhängigkeiten im Projektstrukturplan. Aufgaben und Projekte können nun per Drag-and-Drop als Vorgänger bzw. Nachfolger definiert werden. Die neue Variante bietet insbesondere bei großen Projekten eine verbesserte Performance.</w:t>
      </w:r>
    </w:p>
    <w:p w14:paraId="175335A6" w14:textId="77777777" w:rsidR="00792273" w:rsidRPr="00792273" w:rsidRDefault="00792273" w:rsidP="00792273">
      <w:pPr>
        <w:spacing w:after="225" w:line="300" w:lineRule="atLeast"/>
        <w:textAlignment w:val="baseline"/>
        <w:rPr>
          <w:rFonts w:cstheme="minorHAnsi"/>
          <w:szCs w:val="22"/>
        </w:rPr>
      </w:pPr>
      <w:r w:rsidRPr="00792273">
        <w:rPr>
          <w:rFonts w:cstheme="minorHAnsi"/>
          <w:szCs w:val="22"/>
        </w:rPr>
        <w:t xml:space="preserve">Die Sicherheit der Daten ist ein wichtiger Aspekt in Projektron BCS. TLS/SSL-Zertifikate gewährleisten die Vertraulichkeit und Integrität der zwischen dem Webbrowser und Projektron BCS ausgetauschten Informationen. Über eine neue Ansicht im Arbeitsbereich Administration können BCS-Nutzer nun TLS/SSL-Zertifikate direkt hochladen, verwalten und im Apache </w:t>
      </w:r>
      <w:proofErr w:type="spellStart"/>
      <w:r w:rsidRPr="00792273">
        <w:rPr>
          <w:rFonts w:cstheme="minorHAnsi"/>
          <w:szCs w:val="22"/>
        </w:rPr>
        <w:t>Tomcat</w:t>
      </w:r>
      <w:proofErr w:type="spellEnd"/>
      <w:r w:rsidRPr="00792273">
        <w:rPr>
          <w:rFonts w:cstheme="minorHAnsi"/>
          <w:szCs w:val="22"/>
        </w:rPr>
        <w:t xml:space="preserve"> anwenden, um die Privatsphäre ihrer Daten zu schützen.</w:t>
      </w:r>
    </w:p>
    <w:p w14:paraId="53670ED7" w14:textId="77777777" w:rsidR="00792273" w:rsidRPr="00792273" w:rsidRDefault="00792273" w:rsidP="00792273">
      <w:pPr>
        <w:spacing w:after="225" w:line="300" w:lineRule="atLeast"/>
        <w:textAlignment w:val="baseline"/>
        <w:rPr>
          <w:rFonts w:cstheme="minorHAnsi"/>
          <w:szCs w:val="22"/>
        </w:rPr>
      </w:pPr>
    </w:p>
    <w:p w14:paraId="69A25905" w14:textId="704032AA" w:rsidR="00792273" w:rsidRPr="00792273" w:rsidRDefault="00792273" w:rsidP="00792273">
      <w:pPr>
        <w:spacing w:after="225" w:line="300" w:lineRule="atLeast"/>
        <w:textAlignment w:val="baseline"/>
        <w:rPr>
          <w:rFonts w:cstheme="minorHAnsi"/>
          <w:b/>
          <w:bCs/>
          <w:szCs w:val="22"/>
        </w:rPr>
      </w:pPr>
      <w:r w:rsidRPr="00792273">
        <w:rPr>
          <w:rFonts w:cstheme="minorHAnsi"/>
          <w:b/>
          <w:bCs/>
          <w:szCs w:val="22"/>
        </w:rPr>
        <w:t>Über die Projektron GmbH</w:t>
      </w:r>
    </w:p>
    <w:p w14:paraId="0192DBA4" w14:textId="2AF70033" w:rsidR="00792273" w:rsidRDefault="00792273" w:rsidP="00792273">
      <w:pPr>
        <w:spacing w:after="225" w:line="300" w:lineRule="atLeast"/>
        <w:textAlignment w:val="baseline"/>
        <w:rPr>
          <w:rFonts w:cstheme="minorHAnsi"/>
          <w:szCs w:val="22"/>
          <w:shd w:val="clear" w:color="auto" w:fill="FFFFFF"/>
        </w:rPr>
      </w:pPr>
      <w:r w:rsidRPr="00792273">
        <w:rPr>
          <w:rFonts w:cstheme="minorHAnsi"/>
          <w:szCs w:val="22"/>
          <w:shd w:val="clear" w:color="auto" w:fill="FFFFFF"/>
        </w:rPr>
        <w:t xml:space="preserve">Die Projektron GmbH mit Hauptsitz in Berlin entwickelt und verkauft seit 2001 die webbasierte Projektmanagement-Software Projektron BCS. Diese wird an insgesamt fünf Standorten in zehn Sprachen vertrieben. Die Software ist branchenübergreifend für alle projektbasiert arbeitenden Unternehmen jeder Größenordnung geeignet. 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w:t>
      </w:r>
      <w:r w:rsidRPr="00792273">
        <w:rPr>
          <w:rFonts w:cstheme="minorHAnsi"/>
          <w:szCs w:val="22"/>
          <w:shd w:val="clear" w:color="auto" w:fill="FFFFFF"/>
        </w:rPr>
        <w:lastRenderedPageBreak/>
        <w:t xml:space="preserve">Projektron BCS. Sowohl die Projektron GmbH als auch das Produkt, Projektron BCS, wurden vielfach ausgezeichnet und prämiert. </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0133D7">
      <w:headerReference w:type="default" r:id="rId7"/>
      <w:headerReference w:type="first" r:id="rId8"/>
      <w:footerReference w:type="first" r:id="rId9"/>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A4CB" w14:textId="77777777" w:rsidR="001D2BC9" w:rsidRDefault="001D2BC9" w:rsidP="00FC4913">
      <w:r>
        <w:separator/>
      </w:r>
    </w:p>
  </w:endnote>
  <w:endnote w:type="continuationSeparator" w:id="0">
    <w:p w14:paraId="327EEB4F" w14:textId="77777777" w:rsidR="001D2BC9" w:rsidRDefault="001D2BC9"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7BDC" w14:textId="77777777" w:rsidR="001D2BC9" w:rsidRDefault="001D2BC9" w:rsidP="00FC4913">
      <w:r>
        <w:separator/>
      </w:r>
    </w:p>
  </w:footnote>
  <w:footnote w:type="continuationSeparator" w:id="0">
    <w:p w14:paraId="49BBFBB7" w14:textId="77777777" w:rsidR="001D2BC9" w:rsidRDefault="001D2BC9"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4"/>
  </w:num>
  <w:num w:numId="2" w16cid:durableId="508180038">
    <w:abstractNumId w:val="1"/>
  </w:num>
  <w:num w:numId="3" w16cid:durableId="1012146134">
    <w:abstractNumId w:val="5"/>
  </w:num>
  <w:num w:numId="4" w16cid:durableId="1976981052">
    <w:abstractNumId w:val="0"/>
  </w:num>
  <w:num w:numId="5" w16cid:durableId="1921214604">
    <w:abstractNumId w:val="2"/>
  </w:num>
  <w:num w:numId="6" w16cid:durableId="2008555151">
    <w:abstractNumId w:val="6"/>
  </w:num>
  <w:num w:numId="7" w16cid:durableId="171700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F029A"/>
    <w:rsid w:val="004F26D7"/>
    <w:rsid w:val="004F6401"/>
    <w:rsid w:val="00504491"/>
    <w:rsid w:val="00504CD2"/>
    <w:rsid w:val="00511C4C"/>
    <w:rsid w:val="00525D93"/>
    <w:rsid w:val="005305E2"/>
    <w:rsid w:val="00546299"/>
    <w:rsid w:val="00552B89"/>
    <w:rsid w:val="00555DEE"/>
    <w:rsid w:val="00576032"/>
    <w:rsid w:val="005943A2"/>
    <w:rsid w:val="005E3432"/>
    <w:rsid w:val="005E6D66"/>
    <w:rsid w:val="005F775E"/>
    <w:rsid w:val="00605007"/>
    <w:rsid w:val="006132C4"/>
    <w:rsid w:val="006423F3"/>
    <w:rsid w:val="006523F1"/>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256B1"/>
    <w:rsid w:val="00741C05"/>
    <w:rsid w:val="00743DBF"/>
    <w:rsid w:val="007568F7"/>
    <w:rsid w:val="00757883"/>
    <w:rsid w:val="0076221B"/>
    <w:rsid w:val="00762639"/>
    <w:rsid w:val="00770085"/>
    <w:rsid w:val="00792273"/>
    <w:rsid w:val="007A0AC1"/>
    <w:rsid w:val="007A41DE"/>
    <w:rsid w:val="007C373E"/>
    <w:rsid w:val="007C6F3E"/>
    <w:rsid w:val="007F1CEF"/>
    <w:rsid w:val="007F2801"/>
    <w:rsid w:val="0080218E"/>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7601"/>
    <w:rsid w:val="009570F7"/>
    <w:rsid w:val="009828E4"/>
    <w:rsid w:val="00984AA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C0FE1"/>
    <w:rsid w:val="00AC3F81"/>
    <w:rsid w:val="00AD390F"/>
    <w:rsid w:val="00AD6E93"/>
    <w:rsid w:val="00AF5A44"/>
    <w:rsid w:val="00B14AC2"/>
    <w:rsid w:val="00B358FB"/>
    <w:rsid w:val="00B56342"/>
    <w:rsid w:val="00B622AC"/>
    <w:rsid w:val="00B725F4"/>
    <w:rsid w:val="00BB18A2"/>
    <w:rsid w:val="00BB5B82"/>
    <w:rsid w:val="00BD45BF"/>
    <w:rsid w:val="00BD7C68"/>
    <w:rsid w:val="00C21659"/>
    <w:rsid w:val="00C2245B"/>
    <w:rsid w:val="00C25AFC"/>
    <w:rsid w:val="00C25CD2"/>
    <w:rsid w:val="00C44E81"/>
    <w:rsid w:val="00C5571F"/>
    <w:rsid w:val="00C575E4"/>
    <w:rsid w:val="00C62353"/>
    <w:rsid w:val="00C62BDF"/>
    <w:rsid w:val="00C671C0"/>
    <w:rsid w:val="00C70F9E"/>
    <w:rsid w:val="00C749E0"/>
    <w:rsid w:val="00C9380E"/>
    <w:rsid w:val="00C95EAF"/>
    <w:rsid w:val="00CA65B8"/>
    <w:rsid w:val="00CB2A23"/>
    <w:rsid w:val="00CD78A5"/>
    <w:rsid w:val="00CE2F29"/>
    <w:rsid w:val="00CE47CF"/>
    <w:rsid w:val="00CE7A35"/>
    <w:rsid w:val="00CF5EF6"/>
    <w:rsid w:val="00D14D0F"/>
    <w:rsid w:val="00D1711C"/>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92B28"/>
    <w:rsid w:val="00EB322C"/>
    <w:rsid w:val="00EB66AD"/>
    <w:rsid w:val="00ED6452"/>
    <w:rsid w:val="00EF435F"/>
    <w:rsid w:val="00F0055D"/>
    <w:rsid w:val="00F14D84"/>
    <w:rsid w:val="00F276F3"/>
    <w:rsid w:val="00F35383"/>
    <w:rsid w:val="00F56AF4"/>
    <w:rsid w:val="00F62D6A"/>
    <w:rsid w:val="00F65722"/>
    <w:rsid w:val="00F81A31"/>
    <w:rsid w:val="00FC4913"/>
    <w:rsid w:val="00FC57CF"/>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semiHidden/>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qFormat/>
    <w:rsid w:val="00792273"/>
    <w:rPr>
      <w:b/>
      <w:bCs/>
    </w:rPr>
  </w:style>
  <w:style w:type="character" w:styleId="Hyperlink">
    <w:name w:val="Hyperlink"/>
    <w:basedOn w:val="Absatz-Standardschriftart"/>
    <w:uiPriority w:val="99"/>
    <w:semiHidden/>
    <w:unhideWhenUsed/>
    <w:rsid w:val="00013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kai.sulkowski\Briefvorlage_Charlottenstr_68.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Briefvorlage_Charlottenstr_68.dotx</Template>
  <TotalTime>0</TotalTime>
  <Pages>2</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3</cp:revision>
  <cp:lastPrinted>2013-10-10T08:32:00Z</cp:lastPrinted>
  <dcterms:created xsi:type="dcterms:W3CDTF">2023-07-04T14:55:00Z</dcterms:created>
  <dcterms:modified xsi:type="dcterms:W3CDTF">2023-07-05T06:22:00Z</dcterms:modified>
</cp:coreProperties>
</file>