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C2CD" w14:textId="77777777" w:rsidR="001421EB" w:rsidRPr="001421EB" w:rsidRDefault="001421EB" w:rsidP="001421EB">
      <w:pPr>
        <w:spacing w:after="225" w:line="300" w:lineRule="atLeast"/>
        <w:textAlignment w:val="baseline"/>
        <w:rPr>
          <w:b/>
          <w:bCs/>
        </w:rPr>
      </w:pPr>
      <w:r w:rsidRPr="001421EB">
        <w:rPr>
          <w:b/>
          <w:bCs/>
        </w:rPr>
        <w:t>Projektron erstmals unter Europas 100 besten mittelständischen Arbeitgebern</w:t>
      </w:r>
    </w:p>
    <w:p w14:paraId="3CEB0B57" w14:textId="77777777" w:rsidR="001421EB" w:rsidRPr="001421EB" w:rsidRDefault="001421EB" w:rsidP="001421EB">
      <w:pPr>
        <w:spacing w:after="225" w:line="300" w:lineRule="atLeast"/>
        <w:textAlignment w:val="baseline"/>
        <w:rPr>
          <w:b/>
          <w:bCs/>
        </w:rPr>
      </w:pPr>
      <w:r w:rsidRPr="001421EB">
        <w:rPr>
          <w:b/>
          <w:bCs/>
        </w:rPr>
        <w:t xml:space="preserve">Berliner Softwarehersteller erreicht Platz 74 bei den „Best Small &amp; Medium </w:t>
      </w:r>
      <w:proofErr w:type="spellStart"/>
      <w:r w:rsidRPr="001421EB">
        <w:rPr>
          <w:b/>
          <w:bCs/>
        </w:rPr>
        <w:t>Workplaces</w:t>
      </w:r>
      <w:proofErr w:type="spellEnd"/>
      <w:r w:rsidRPr="001421EB">
        <w:rPr>
          <w:b/>
          <w:bCs/>
        </w:rPr>
        <w:t xml:space="preserve"> in Europe™ 2026“ von Great Place To Work®</w:t>
      </w:r>
    </w:p>
    <w:p w14:paraId="201ECC6B" w14:textId="77777777" w:rsidR="001421EB" w:rsidRPr="001421EB" w:rsidRDefault="001421EB" w:rsidP="001421EB">
      <w:pPr>
        <w:spacing w:after="225" w:line="300" w:lineRule="atLeast"/>
        <w:textAlignment w:val="baseline"/>
      </w:pPr>
      <w:r w:rsidRPr="001421EB">
        <w:rPr>
          <w:b/>
          <w:bCs/>
        </w:rPr>
        <w:t xml:space="preserve">Berlin, 20. September 2026 </w:t>
      </w:r>
      <w:r w:rsidRPr="001421EB">
        <w:t xml:space="preserve">– Die Projektron GmbH gehört erstmals zu den „Best Small &amp; Medium </w:t>
      </w:r>
      <w:proofErr w:type="spellStart"/>
      <w:r w:rsidRPr="001421EB">
        <w:t>Workplaces</w:t>
      </w:r>
      <w:proofErr w:type="spellEnd"/>
      <w:r w:rsidRPr="001421EB">
        <w:t xml:space="preserve"> in Europe™“. Im europäischen Arbeitgeberwettbewerb von Great Place To Work® erreicht das Berliner Softwareunternehmen den 74. Platz und zählt damit zu den 100 ausgezeichneten kleinen und mittelständischen Arbeitgebern Europas. Projektron ist eines von lediglich acht deutschen Unternehmen, die 2026 den Sprung in die europäische Top 100 dieser Kategorie geschafft haben.</w:t>
      </w:r>
    </w:p>
    <w:p w14:paraId="5894E71B" w14:textId="77777777" w:rsidR="001421EB" w:rsidRPr="001421EB" w:rsidRDefault="001421EB" w:rsidP="001421EB">
      <w:pPr>
        <w:spacing w:after="225" w:line="300" w:lineRule="atLeast"/>
        <w:textAlignment w:val="baseline"/>
      </w:pPr>
      <w:r w:rsidRPr="001421EB">
        <w:t xml:space="preserve">Great Place To Work® gab die diesjährigen Preisträger am 17. September 2026 bekannt. Die Kategorie „Best Small &amp; Medium </w:t>
      </w:r>
      <w:proofErr w:type="spellStart"/>
      <w:r w:rsidRPr="001421EB">
        <w:t>Workplaces</w:t>
      </w:r>
      <w:proofErr w:type="spellEnd"/>
      <w:r w:rsidRPr="001421EB">
        <w:t xml:space="preserve"> in Europe“ richtet sich an Unternehmen mit 50 bis 499 Mitarbeitern. Die ausgezeichneten Arbeitgeber kommen aus zahlreichen europäischen Ländern und unterschiedlichen Branchen.</w:t>
      </w:r>
    </w:p>
    <w:p w14:paraId="6372E686" w14:textId="77777777" w:rsidR="001421EB" w:rsidRPr="001421EB" w:rsidRDefault="001421EB" w:rsidP="001421EB">
      <w:pPr>
        <w:spacing w:after="225" w:line="300" w:lineRule="atLeast"/>
        <w:textAlignment w:val="baseline"/>
        <w:rPr>
          <w:b/>
          <w:bCs/>
        </w:rPr>
      </w:pPr>
      <w:r w:rsidRPr="001421EB">
        <w:rPr>
          <w:b/>
          <w:bCs/>
        </w:rPr>
        <w:t>Mitarbeiterfeedback bildet Grundlage des europäischen Rankings</w:t>
      </w:r>
    </w:p>
    <w:p w14:paraId="4A029C37" w14:textId="77777777" w:rsidR="001421EB" w:rsidRPr="001421EB" w:rsidRDefault="001421EB" w:rsidP="001421EB">
      <w:pPr>
        <w:spacing w:after="225" w:line="300" w:lineRule="atLeast"/>
        <w:textAlignment w:val="baseline"/>
      </w:pPr>
      <w:r w:rsidRPr="001421EB">
        <w:t xml:space="preserve">Entscheidend für die Auszeichnung sind die Erfahrungen der Beschäftigten in den teilnehmenden Unternehmen. Für die „Best </w:t>
      </w:r>
      <w:proofErr w:type="spellStart"/>
      <w:r w:rsidRPr="001421EB">
        <w:t>Workplaces</w:t>
      </w:r>
      <w:proofErr w:type="spellEnd"/>
      <w:r w:rsidRPr="001421EB">
        <w:t xml:space="preserve"> in Europe 2026™“ wurden nach Angaben von Great Place To Work® mehr als 1,5 Millionen Mitarbeiter in Europa zu ihren Erfahrungen am Arbeitsplatz befragt. Die Befragungen repräsentieren insgesamt mehr als 2,4 Millionen Beschäftigte.</w:t>
      </w:r>
    </w:p>
    <w:p w14:paraId="612FB548" w14:textId="77777777" w:rsidR="001421EB" w:rsidRPr="001421EB" w:rsidRDefault="001421EB" w:rsidP="001421EB">
      <w:pPr>
        <w:spacing w:after="225" w:line="300" w:lineRule="atLeast"/>
        <w:textAlignment w:val="baseline"/>
      </w:pPr>
      <w:r w:rsidRPr="001421EB">
        <w:t>In das Ranking flossen 260.000 Antworten aus den für die europäische Auszeichnung qualifizierten Unternehmen ein. Bewertet werden insbesondere die Erfahrungen der Mitarbeiter in Bereichen wie Vertrauen, Führung, Unternehmenswerte und Innovation.</w:t>
      </w:r>
    </w:p>
    <w:p w14:paraId="7E4A7A0C" w14:textId="77777777" w:rsidR="001421EB" w:rsidRPr="001421EB" w:rsidRDefault="001421EB" w:rsidP="001421EB">
      <w:pPr>
        <w:spacing w:after="225" w:line="300" w:lineRule="atLeast"/>
        <w:textAlignment w:val="baseline"/>
      </w:pPr>
      <w:r w:rsidRPr="001421EB">
        <w:t>Damit basiert die Auszeichnung wesentlich auf der Einschätzung der Menschen, die täglich in den Unternehmen arbeiten. Für Projektron ist die Platzierung daher auch eine Bestätigung der eigenen Arbeitsplatz- und Unternehmenskultur.</w:t>
      </w:r>
    </w:p>
    <w:p w14:paraId="0A3917F9" w14:textId="77777777" w:rsidR="001421EB" w:rsidRPr="001421EB" w:rsidRDefault="001421EB" w:rsidP="001421EB">
      <w:pPr>
        <w:spacing w:after="225" w:line="300" w:lineRule="atLeast"/>
        <w:textAlignment w:val="baseline"/>
        <w:rPr>
          <w:b/>
          <w:bCs/>
        </w:rPr>
      </w:pPr>
      <w:r w:rsidRPr="001421EB">
        <w:rPr>
          <w:b/>
          <w:bCs/>
        </w:rPr>
        <w:t>Qualifikation über nationale Arbeitgeberwettbewerbe</w:t>
      </w:r>
    </w:p>
    <w:p w14:paraId="4B595771" w14:textId="77777777" w:rsidR="001421EB" w:rsidRPr="001421EB" w:rsidRDefault="001421EB" w:rsidP="001421EB">
      <w:pPr>
        <w:spacing w:after="225" w:line="300" w:lineRule="atLeast"/>
        <w:textAlignment w:val="baseline"/>
      </w:pPr>
      <w:r w:rsidRPr="001421EB">
        <w:t>Der Weg auf die europäische Bestenliste führt über mehrere Stufen. Berücksichtigt werden nur Unternehmen, die zunächst die Great Place To Work Certified™-Zertifizierung erreicht haben und sich zusätzlich auf einer nationalen Best-</w:t>
      </w:r>
      <w:proofErr w:type="spellStart"/>
      <w:r w:rsidRPr="001421EB">
        <w:t>Workplaces</w:t>
      </w:r>
      <w:proofErr w:type="spellEnd"/>
      <w:r w:rsidRPr="001421EB">
        <w:t>-Liste qualifizieren konnten.</w:t>
      </w:r>
    </w:p>
    <w:p w14:paraId="3D7C556E" w14:textId="77777777" w:rsidR="001421EB" w:rsidRPr="001421EB" w:rsidRDefault="001421EB" w:rsidP="001421EB">
      <w:pPr>
        <w:spacing w:after="225" w:line="300" w:lineRule="atLeast"/>
        <w:textAlignment w:val="baseline"/>
      </w:pPr>
      <w:r w:rsidRPr="001421EB">
        <w:t xml:space="preserve">Projektron wurde 2026 bereits in mehreren Arbeitgeberwettbewerben von Great Place To Work® ausgezeichnet. Im Unternehmensportrait führt das Institut das Berliner Softwareunternehmen unter anderem bei „Deutschlands Beste Arbeitgeber 2026“, „Beste Arbeitgeber in Berlin-Brandenburg 2026“, „Beste Arbeitgeber ITK 2026“ und „Beste Arbeitgeber für Frauen 2026“. Mit </w:t>
      </w:r>
      <w:r w:rsidRPr="001421EB">
        <w:lastRenderedPageBreak/>
        <w:t xml:space="preserve">Platz 74 bei den „Best Small &amp; Medium </w:t>
      </w:r>
      <w:proofErr w:type="spellStart"/>
      <w:r w:rsidRPr="001421EB">
        <w:t>Workplaces</w:t>
      </w:r>
      <w:proofErr w:type="spellEnd"/>
      <w:r w:rsidRPr="001421EB">
        <w:t xml:space="preserve"> in Europe 2026“ erreicht Projektron nun erstmals auch die europäische Bestenliste.</w:t>
      </w:r>
    </w:p>
    <w:p w14:paraId="65E62C75" w14:textId="77777777" w:rsidR="001421EB" w:rsidRPr="001421EB" w:rsidRDefault="001421EB" w:rsidP="001421EB">
      <w:pPr>
        <w:spacing w:after="225" w:line="300" w:lineRule="atLeast"/>
        <w:textAlignment w:val="baseline"/>
      </w:pPr>
      <w:r w:rsidRPr="001421EB">
        <w:t>Andreas Schubert, Geschäftsführer von Great Place To Work® Deutschland, hebt anlässlich der europäischen Auszeichnung die Bedeutung einer guten Unternehmens- und Arbeitsplatzkultur auch für die Wettbewerbsfähigkeit von Unternehmen unterschiedlicher Größen hervor.</w:t>
      </w:r>
    </w:p>
    <w:p w14:paraId="6FD8FC2F" w14:textId="77777777" w:rsidR="001421EB" w:rsidRPr="001421EB" w:rsidRDefault="001421EB" w:rsidP="001421EB">
      <w:pPr>
        <w:spacing w:after="225" w:line="300" w:lineRule="atLeast"/>
        <w:textAlignment w:val="baseline"/>
        <w:rPr>
          <w:b/>
          <w:bCs/>
        </w:rPr>
      </w:pPr>
    </w:p>
    <w:p w14:paraId="4A4479FE" w14:textId="77777777" w:rsidR="001421EB" w:rsidRPr="001421EB" w:rsidRDefault="001421EB" w:rsidP="001421EB">
      <w:pPr>
        <w:spacing w:after="225" w:line="300" w:lineRule="atLeast"/>
        <w:textAlignment w:val="baseline"/>
        <w:rPr>
          <w:b/>
          <w:bCs/>
        </w:rPr>
      </w:pPr>
      <w:r w:rsidRPr="001421EB">
        <w:rPr>
          <w:b/>
          <w:bCs/>
        </w:rPr>
        <w:t>Projektron auf Platz 74 der europäischen Top 100</w:t>
      </w:r>
    </w:p>
    <w:p w14:paraId="4008D7EB" w14:textId="77777777" w:rsidR="001421EB" w:rsidRPr="001421EB" w:rsidRDefault="001421EB" w:rsidP="001421EB">
      <w:pPr>
        <w:spacing w:after="225" w:line="300" w:lineRule="atLeast"/>
        <w:textAlignment w:val="baseline"/>
      </w:pPr>
      <w:r w:rsidRPr="001421EB">
        <w:t xml:space="preserve">Insgesamt umfasst die Liste der „Best Small &amp; Medium </w:t>
      </w:r>
      <w:proofErr w:type="spellStart"/>
      <w:r w:rsidRPr="001421EB">
        <w:t>Workplaces</w:t>
      </w:r>
      <w:proofErr w:type="spellEnd"/>
      <w:r w:rsidRPr="001421EB">
        <w:t xml:space="preserve"> in Europe 2026“ 100 Unternehmen. Projektron belegt darin Rang 74.</w:t>
      </w:r>
    </w:p>
    <w:p w14:paraId="2E5039A0" w14:textId="77777777" w:rsidR="001421EB" w:rsidRPr="001421EB" w:rsidRDefault="001421EB" w:rsidP="001421EB">
      <w:pPr>
        <w:spacing w:after="225" w:line="300" w:lineRule="atLeast"/>
        <w:textAlignment w:val="baseline"/>
      </w:pPr>
      <w:r w:rsidRPr="001421EB">
        <w:t>Die erstmalige Aufnahme in die europäische Bestenliste ergänzt die bisherigen nationalen, regionalen und branchenspezifischen Auszeichnungen von Projektron. Gleichzeitig unterstreicht sie die Bedeutung einer Arbeitsplatzkultur, die von den eigenen Mitarbeitern positiv bewertet wird.</w:t>
      </w:r>
    </w:p>
    <w:p w14:paraId="3C5655F8" w14:textId="77777777" w:rsidR="001421EB" w:rsidRPr="001421EB" w:rsidRDefault="001421EB" w:rsidP="001421EB">
      <w:pPr>
        <w:spacing w:after="225" w:line="300" w:lineRule="atLeast"/>
        <w:textAlignment w:val="baseline"/>
        <w:rPr>
          <w:b/>
          <w:bCs/>
        </w:rPr>
      </w:pPr>
    </w:p>
    <w:p w14:paraId="27265CF4" w14:textId="77777777" w:rsidR="001421EB" w:rsidRPr="001421EB" w:rsidRDefault="001421EB" w:rsidP="001421EB">
      <w:pPr>
        <w:spacing w:after="225" w:line="300" w:lineRule="atLeast"/>
        <w:textAlignment w:val="baseline"/>
        <w:rPr>
          <w:b/>
          <w:bCs/>
          <w:lang w:val="en-US"/>
        </w:rPr>
      </w:pPr>
      <w:proofErr w:type="spellStart"/>
      <w:r w:rsidRPr="001421EB">
        <w:rPr>
          <w:b/>
          <w:bCs/>
          <w:lang w:val="en-US"/>
        </w:rPr>
        <w:t>Über</w:t>
      </w:r>
      <w:proofErr w:type="spellEnd"/>
      <w:r w:rsidRPr="001421EB">
        <w:rPr>
          <w:b/>
          <w:bCs/>
          <w:lang w:val="en-US"/>
        </w:rPr>
        <w:t xml:space="preserve"> Great Place </w:t>
      </w:r>
      <w:proofErr w:type="gramStart"/>
      <w:r w:rsidRPr="001421EB">
        <w:rPr>
          <w:b/>
          <w:bCs/>
          <w:lang w:val="en-US"/>
        </w:rPr>
        <w:t>To</w:t>
      </w:r>
      <w:proofErr w:type="gramEnd"/>
      <w:r w:rsidRPr="001421EB">
        <w:rPr>
          <w:b/>
          <w:bCs/>
          <w:lang w:val="en-US"/>
        </w:rPr>
        <w:t xml:space="preserve"> Work®</w:t>
      </w:r>
    </w:p>
    <w:p w14:paraId="05C8B7D6" w14:textId="77777777" w:rsidR="001421EB" w:rsidRPr="001421EB" w:rsidRDefault="001421EB" w:rsidP="001421EB">
      <w:pPr>
        <w:spacing w:after="225" w:line="300" w:lineRule="atLeast"/>
        <w:textAlignment w:val="baseline"/>
      </w:pPr>
      <w:r w:rsidRPr="001421EB">
        <w:t>Great Place To Work® unterstützt Unternehmen weltweit bei der Analyse und Entwicklung ihrer Unternehmens- und Arbeitsplatzkultur. Grundlage der Zertifizierungen und Arbeitgeberwettbewerbe sind repräsentative und anonyme Mitarbeiterbefragungen. Nach Angaben des Instituts werden weltweit jährlich mehr als 20 Millionen Beschäftigte aus rund 21.000 Unternehmen in 170 Ländern befragt. Great Place To Work® ist an mehr als 60 Standorten vertreten.</w:t>
      </w:r>
    </w:p>
    <w:p w14:paraId="7583BBB1" w14:textId="77777777" w:rsidR="004149CA" w:rsidRPr="00931433" w:rsidRDefault="004149CA" w:rsidP="00931433">
      <w:pPr>
        <w:spacing w:after="225" w:line="300" w:lineRule="atLeast"/>
        <w:textAlignment w:val="baseline"/>
        <w:rPr>
          <w:rFonts w:cstheme="minorHAnsi"/>
          <w:szCs w:val="22"/>
        </w:rPr>
      </w:pPr>
    </w:p>
    <w:p w14:paraId="69A25905" w14:textId="34BC2843" w:rsidR="00792273" w:rsidRPr="00AD445E" w:rsidRDefault="00792273" w:rsidP="006372C4">
      <w:pPr>
        <w:spacing w:after="225" w:line="300" w:lineRule="atLeast"/>
        <w:textAlignment w:val="baseline"/>
        <w:rPr>
          <w:rFonts w:cstheme="minorHAnsi"/>
          <w:b/>
          <w:bCs/>
          <w:szCs w:val="22"/>
        </w:rPr>
      </w:pPr>
      <w:r w:rsidRPr="00AD445E">
        <w:rPr>
          <w:rFonts w:cstheme="minorHAnsi"/>
          <w:b/>
          <w:bCs/>
          <w:szCs w:val="22"/>
        </w:rPr>
        <w:t>Über die Projektron GmbH</w:t>
      </w:r>
    </w:p>
    <w:p w14:paraId="6B6566A5" w14:textId="00B8F285" w:rsidR="00B302A5" w:rsidRDefault="00B302A5" w:rsidP="003F4FE0">
      <w:pPr>
        <w:spacing w:after="225" w:line="300" w:lineRule="atLeast"/>
        <w:textAlignment w:val="baseline"/>
        <w:rPr>
          <w:rFonts w:cstheme="minorHAnsi"/>
          <w:szCs w:val="22"/>
          <w:shd w:val="clear" w:color="auto" w:fill="FFFFFF"/>
        </w:rPr>
      </w:pPr>
      <w:r w:rsidRPr="00B302A5">
        <w:rPr>
          <w:rFonts w:cstheme="minorHAnsi"/>
          <w:szCs w:val="22"/>
          <w:shd w:val="clear" w:color="auto" w:fill="FFFFFF"/>
        </w:rPr>
        <w:t xml:space="preserve">Die Projektron GmbH mit Hauptsitz in Berlin entwickelt und vertreibt seit 2001 die Business </w:t>
      </w:r>
      <w:proofErr w:type="spellStart"/>
      <w:r w:rsidRPr="00B302A5">
        <w:rPr>
          <w:rFonts w:cstheme="minorHAnsi"/>
          <w:szCs w:val="22"/>
          <w:shd w:val="clear" w:color="auto" w:fill="FFFFFF"/>
        </w:rPr>
        <w:t>Coordination</w:t>
      </w:r>
      <w:proofErr w:type="spellEnd"/>
      <w:r w:rsidRPr="00B302A5">
        <w:rPr>
          <w:rFonts w:cstheme="minorHAnsi"/>
          <w:szCs w:val="22"/>
          <w:shd w:val="clear" w:color="auto" w:fill="FFFFFF"/>
        </w:rPr>
        <w:t xml:space="preserve"> Software BCS. BCS ist eine integrierte Projektmanagement- und ERP-Software für Dienstleister und unterstützt projektbasiert arbeitende Unternehmen aller Branchen und Größenordnungen. Die Software wird von fünf Standorten aus in zehn Sprachen vertrieben und europaweit von über 850 Kunden eingesetzt. Ergänzend zu BCS bietet die Projektron GmbH umfassende Serviceleistungen – von intensiver Kundenbetreuung über zielgruppenspezifische Schulungen und individuelle Workshops bis hin zu professionellem Anwendersupport. Sowohl die Projektron GmbH als auch das Produkt, BCS, wurden vielfach ausgezeichnet und prämiert. </w:t>
      </w:r>
    </w:p>
    <w:p w14:paraId="16E5F46D" w14:textId="7089A3FF" w:rsidR="000133D7" w:rsidRPr="003F4FE0" w:rsidRDefault="000133D7" w:rsidP="003F4FE0">
      <w:pPr>
        <w:spacing w:after="225" w:line="300" w:lineRule="atLeast"/>
        <w:textAlignment w:val="baseline"/>
      </w:pPr>
      <w:r>
        <w:rPr>
          <w:rFonts w:ascii="Arial" w:hAnsi="Arial" w:cs="Arial"/>
          <w:i/>
          <w:sz w:val="18"/>
          <w:szCs w:val="18"/>
        </w:rPr>
        <w:lastRenderedPageBreak/>
        <w:t>______________________________________________________________________</w:t>
      </w:r>
    </w:p>
    <w:p w14:paraId="0EDEC7FA" w14:textId="77777777" w:rsidR="000133D7" w:rsidRPr="000133D7" w:rsidRDefault="000133D7" w:rsidP="000133D7">
      <w:pPr>
        <w:widowControl w:val="0"/>
        <w:spacing w:line="360" w:lineRule="auto"/>
        <w:rPr>
          <w:rFonts w:cstheme="minorHAnsi"/>
          <w:sz w:val="18"/>
          <w:szCs w:val="18"/>
        </w:rPr>
      </w:pPr>
      <w:r w:rsidRPr="000133D7">
        <w:rPr>
          <w:rFonts w:cstheme="minorHAnsi"/>
          <w:sz w:val="18"/>
          <w:szCs w:val="18"/>
        </w:rPr>
        <w:t xml:space="preserve">Ihr Ansprechpartner für redaktionelle Fragen: </w:t>
      </w:r>
    </w:p>
    <w:p w14:paraId="13AA7526" w14:textId="0F423DC1" w:rsidR="000133D7" w:rsidRPr="000133D7" w:rsidRDefault="000133D7" w:rsidP="000133D7">
      <w:pPr>
        <w:widowControl w:val="0"/>
        <w:spacing w:line="360" w:lineRule="auto"/>
        <w:rPr>
          <w:rFonts w:cstheme="minorHAnsi"/>
          <w:sz w:val="18"/>
          <w:szCs w:val="18"/>
        </w:rPr>
      </w:pPr>
      <w:r w:rsidRPr="000133D7">
        <w:rPr>
          <w:rFonts w:cstheme="minorHAnsi"/>
          <w:sz w:val="18"/>
          <w:szCs w:val="18"/>
        </w:rPr>
        <w:t>Pressestelle Projektron GmbH, Claudia Kedor, Tel.: +49 30 3 47 47 64-131</w:t>
      </w:r>
    </w:p>
    <w:p w14:paraId="0D5CF68B" w14:textId="60FD7111" w:rsidR="000133D7" w:rsidRPr="000133D7" w:rsidRDefault="000133D7" w:rsidP="000133D7">
      <w:pPr>
        <w:spacing w:line="360" w:lineRule="auto"/>
        <w:rPr>
          <w:rFonts w:cstheme="minorHAnsi"/>
          <w:sz w:val="18"/>
          <w:szCs w:val="18"/>
        </w:rPr>
      </w:pPr>
      <w:r w:rsidRPr="000133D7">
        <w:rPr>
          <w:rFonts w:cstheme="minorHAnsi"/>
          <w:sz w:val="18"/>
          <w:szCs w:val="18"/>
        </w:rPr>
        <w:t xml:space="preserve">Die aktuellen Presseinformationen sowie themenbezogene Fotos und Videos erhalten Sie auch per E-Mail über presse@projektron.de sowie im Internet: www.projektron.de/presse. </w:t>
      </w:r>
    </w:p>
    <w:p w14:paraId="45D3AFE0" w14:textId="77777777" w:rsidR="000133D7" w:rsidRPr="00792273" w:rsidRDefault="000133D7" w:rsidP="00792273">
      <w:pPr>
        <w:spacing w:after="225" w:line="300" w:lineRule="atLeast"/>
        <w:textAlignment w:val="baseline"/>
        <w:rPr>
          <w:rFonts w:cstheme="minorHAnsi"/>
          <w:szCs w:val="22"/>
        </w:rPr>
      </w:pPr>
    </w:p>
    <w:p w14:paraId="04F41A3D" w14:textId="3A02F7EF" w:rsidR="00F81A31" w:rsidRPr="00792273" w:rsidRDefault="00F81A31" w:rsidP="00236B3A">
      <w:pPr>
        <w:rPr>
          <w:rFonts w:cs="Arial"/>
          <w:szCs w:val="22"/>
        </w:rPr>
      </w:pPr>
    </w:p>
    <w:sectPr w:rsidR="00F81A31" w:rsidRPr="00792273" w:rsidSect="00C51C02">
      <w:headerReference w:type="default" r:id="rId7"/>
      <w:headerReference w:type="first" r:id="rId8"/>
      <w:footerReference w:type="first" r:id="rId9"/>
      <w:pgSz w:w="11906" w:h="16838" w:code="9"/>
      <w:pgMar w:top="-2755" w:right="1701" w:bottom="1985" w:left="1418"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67D4" w14:textId="77777777" w:rsidR="00431E9B" w:rsidRDefault="00431E9B" w:rsidP="00FC4913">
      <w:r>
        <w:separator/>
      </w:r>
    </w:p>
  </w:endnote>
  <w:endnote w:type="continuationSeparator" w:id="0">
    <w:p w14:paraId="739F31DB" w14:textId="77777777" w:rsidR="00431E9B" w:rsidRDefault="00431E9B" w:rsidP="00FC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F827" w14:textId="77777777" w:rsidR="008C1E19" w:rsidRDefault="008C1E19">
    <w:pPr>
      <w:pStyle w:val="Fuzeile"/>
    </w:pPr>
    <w:r>
      <w:rPr>
        <w:noProof/>
      </w:rPr>
      <w:drawing>
        <wp:anchor distT="0" distB="0" distL="114300" distR="114300" simplePos="0" relativeHeight="251671552" behindDoc="0" locked="0" layoutInCell="1" allowOverlap="1" wp14:anchorId="54F2F1BE" wp14:editId="0730E1AA">
          <wp:simplePos x="0" y="0"/>
          <wp:positionH relativeFrom="column">
            <wp:posOffset>-900430</wp:posOffset>
          </wp:positionH>
          <wp:positionV relativeFrom="paragraph">
            <wp:posOffset>-298450</wp:posOffset>
          </wp:positionV>
          <wp:extent cx="7562850" cy="933450"/>
          <wp:effectExtent l="0" t="0" r="0" b="0"/>
          <wp:wrapNone/>
          <wp:docPr id="310247598" name="Grafik 310247598" descr="P:\Unternehmensidentität\Corporate Design\Geschäftspapiere\Briefbogen\Geschaeftspapier_A4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ternehmensidentität\Corporate Design\Geschäftspapiere\Briefbogen\Geschaeftspapier_A4_Footer.png"/>
                  <pic:cNvPicPr>
                    <a:picLocks noChangeAspect="1" noChangeArrowheads="1"/>
                  </pic:cNvPicPr>
                </pic:nvPicPr>
                <pic:blipFill>
                  <a:blip r:embed="rId1"/>
                  <a:stretch>
                    <a:fillRect/>
                  </a:stretch>
                </pic:blipFill>
                <pic:spPr bwMode="auto">
                  <a:xfrm>
                    <a:off x="0" y="0"/>
                    <a:ext cx="7562850" cy="9334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17134" w14:textId="77777777" w:rsidR="00431E9B" w:rsidRDefault="00431E9B" w:rsidP="00FC4913">
      <w:r>
        <w:separator/>
      </w:r>
    </w:p>
  </w:footnote>
  <w:footnote w:type="continuationSeparator" w:id="0">
    <w:p w14:paraId="7649BBE2" w14:textId="77777777" w:rsidR="00431E9B" w:rsidRDefault="00431E9B" w:rsidP="00FC4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DC61" w14:textId="29F87412" w:rsidR="008C1E19" w:rsidRDefault="00774DD3" w:rsidP="000133D7">
    <w:pPr>
      <w:pStyle w:val="Kopfzeile"/>
      <w:tabs>
        <w:tab w:val="clear" w:pos="4536"/>
        <w:tab w:val="clear" w:pos="9072"/>
        <w:tab w:val="left" w:pos="7970"/>
      </w:tabs>
    </w:pPr>
    <w:r>
      <w:rPr>
        <w:noProof/>
      </w:rPr>
      <w:drawing>
        <wp:anchor distT="0" distB="0" distL="114300" distR="114300" simplePos="0" relativeHeight="251673600" behindDoc="0" locked="0" layoutInCell="1" allowOverlap="1" wp14:anchorId="3B89A105" wp14:editId="11DBDDF0">
          <wp:simplePos x="0" y="0"/>
          <wp:positionH relativeFrom="column">
            <wp:posOffset>3709670</wp:posOffset>
          </wp:positionH>
          <wp:positionV relativeFrom="paragraph">
            <wp:posOffset>3175</wp:posOffset>
          </wp:positionV>
          <wp:extent cx="2026920" cy="520167"/>
          <wp:effectExtent l="0" t="0" r="0" b="0"/>
          <wp:wrapSquare wrapText="bothSides"/>
          <wp:docPr id="16779923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92323" name="Grafik 1677992323"/>
                  <pic:cNvPicPr/>
                </pic:nvPicPr>
                <pic:blipFill>
                  <a:blip r:embed="rId1">
                    <a:extLst>
                      <a:ext uri="{28A0092B-C50C-407E-A947-70E740481C1C}">
                        <a14:useLocalDpi xmlns:a14="http://schemas.microsoft.com/office/drawing/2010/main" val="0"/>
                      </a:ext>
                    </a:extLst>
                  </a:blip>
                  <a:stretch>
                    <a:fillRect/>
                  </a:stretch>
                </pic:blipFill>
                <pic:spPr>
                  <a:xfrm>
                    <a:off x="0" y="0"/>
                    <a:ext cx="2026920" cy="52016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918F" w14:textId="76143001" w:rsidR="008C1E19" w:rsidRDefault="00A8676C" w:rsidP="00576032">
    <w:pPr>
      <w:pStyle w:val="Kopfzeile"/>
    </w:pPr>
    <w:r>
      <w:rPr>
        <w:noProof/>
      </w:rPr>
      <w:drawing>
        <wp:anchor distT="0" distB="0" distL="114300" distR="114300" simplePos="0" relativeHeight="251672576" behindDoc="0" locked="0" layoutInCell="1" allowOverlap="1" wp14:anchorId="48B198D8" wp14:editId="002EE699">
          <wp:simplePos x="0" y="0"/>
          <wp:positionH relativeFrom="margin">
            <wp:posOffset>-899322</wp:posOffset>
          </wp:positionH>
          <wp:positionV relativeFrom="margin">
            <wp:posOffset>-1741155</wp:posOffset>
          </wp:positionV>
          <wp:extent cx="7562850" cy="838200"/>
          <wp:effectExtent l="0" t="0" r="0" b="0"/>
          <wp:wrapNone/>
          <wp:docPr id="1199959097" name="Grafik 1199959097" descr="P:\Unternehmensidentität\Corporate Design\Geschäftspapiere\Briefbogen\Geschaeftspapier_A4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ternehmensidentität\Corporate Design\Geschäftspapiere\Briefbogen\Geschaeftspapier_A4_Header.png"/>
                  <pic:cNvPicPr>
                    <a:picLocks noChangeAspect="1" noChangeArrowheads="1"/>
                  </pic:cNvPicPr>
                </pic:nvPicPr>
                <pic:blipFill rotWithShape="1">
                  <a:blip r:embed="rId1"/>
                  <a:srcRect b="58214"/>
                  <a:stretch/>
                </pic:blipFill>
                <pic:spPr bwMode="auto">
                  <a:xfrm>
                    <a:off x="0" y="0"/>
                    <a:ext cx="7562850" cy="838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30B2"/>
    <w:multiLevelType w:val="hybridMultilevel"/>
    <w:tmpl w:val="1AAC87FE"/>
    <w:lvl w:ilvl="0" w:tplc="D1F8A01E">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4B787D9B"/>
    <w:multiLevelType w:val="hybridMultilevel"/>
    <w:tmpl w:val="185020DC"/>
    <w:lvl w:ilvl="0" w:tplc="24229FBA">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58405BA2"/>
    <w:multiLevelType w:val="hybridMultilevel"/>
    <w:tmpl w:val="F594C854"/>
    <w:lvl w:ilvl="0" w:tplc="F96C63AA">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628E1E4D"/>
    <w:multiLevelType w:val="hybridMultilevel"/>
    <w:tmpl w:val="20BC2638"/>
    <w:lvl w:ilvl="0" w:tplc="9C586E54">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DB04740"/>
    <w:multiLevelType w:val="multilevel"/>
    <w:tmpl w:val="5A16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E1DD8"/>
    <w:multiLevelType w:val="hybridMultilevel"/>
    <w:tmpl w:val="5DD8A8B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F46242"/>
    <w:multiLevelType w:val="hybridMultilevel"/>
    <w:tmpl w:val="98B4B8A4"/>
    <w:lvl w:ilvl="0" w:tplc="1B54C6D6">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D4D375F"/>
    <w:multiLevelType w:val="hybridMultilevel"/>
    <w:tmpl w:val="DB5E2A00"/>
    <w:lvl w:ilvl="0" w:tplc="F816F190">
      <w:start w:val="1"/>
      <w:numFmt w:val="lowerRoman"/>
      <w:lvlText w:val="%1."/>
      <w:lvlJc w:val="left"/>
      <w:pPr>
        <w:tabs>
          <w:tab w:val="num" w:pos="720"/>
        </w:tabs>
        <w:ind w:left="720" w:hanging="72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205532675">
    <w:abstractNumId w:val="5"/>
  </w:num>
  <w:num w:numId="2" w16cid:durableId="508180038">
    <w:abstractNumId w:val="1"/>
  </w:num>
  <w:num w:numId="3" w16cid:durableId="1012146134">
    <w:abstractNumId w:val="6"/>
  </w:num>
  <w:num w:numId="4" w16cid:durableId="1976981052">
    <w:abstractNumId w:val="0"/>
  </w:num>
  <w:num w:numId="5" w16cid:durableId="1921214604">
    <w:abstractNumId w:val="2"/>
  </w:num>
  <w:num w:numId="6" w16cid:durableId="2008555151">
    <w:abstractNumId w:val="7"/>
  </w:num>
  <w:num w:numId="7" w16cid:durableId="1717006484">
    <w:abstractNumId w:val="3"/>
  </w:num>
  <w:num w:numId="8" w16cid:durableId="1505046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73"/>
    <w:rsid w:val="0000181B"/>
    <w:rsid w:val="00007E1A"/>
    <w:rsid w:val="000107E6"/>
    <w:rsid w:val="000133D7"/>
    <w:rsid w:val="0002581F"/>
    <w:rsid w:val="000275C9"/>
    <w:rsid w:val="0003028B"/>
    <w:rsid w:val="0003067D"/>
    <w:rsid w:val="000559F5"/>
    <w:rsid w:val="00057CB6"/>
    <w:rsid w:val="000839FD"/>
    <w:rsid w:val="00085BC9"/>
    <w:rsid w:val="00087909"/>
    <w:rsid w:val="00096660"/>
    <w:rsid w:val="000A6352"/>
    <w:rsid w:val="000B62D3"/>
    <w:rsid w:val="000D5B8B"/>
    <w:rsid w:val="00100235"/>
    <w:rsid w:val="001008AD"/>
    <w:rsid w:val="00111491"/>
    <w:rsid w:val="0013556C"/>
    <w:rsid w:val="001421EB"/>
    <w:rsid w:val="001473E5"/>
    <w:rsid w:val="00165BD3"/>
    <w:rsid w:val="00165E6C"/>
    <w:rsid w:val="0016796C"/>
    <w:rsid w:val="00171A17"/>
    <w:rsid w:val="001827E7"/>
    <w:rsid w:val="001C70B7"/>
    <w:rsid w:val="001D218A"/>
    <w:rsid w:val="001D2BC9"/>
    <w:rsid w:val="00206DE3"/>
    <w:rsid w:val="00207A26"/>
    <w:rsid w:val="00210165"/>
    <w:rsid w:val="00212BC5"/>
    <w:rsid w:val="00217E7F"/>
    <w:rsid w:val="00221853"/>
    <w:rsid w:val="00236B3A"/>
    <w:rsid w:val="0023788F"/>
    <w:rsid w:val="00246B4A"/>
    <w:rsid w:val="00250600"/>
    <w:rsid w:val="002620DB"/>
    <w:rsid w:val="00271CC8"/>
    <w:rsid w:val="002803E0"/>
    <w:rsid w:val="002805A9"/>
    <w:rsid w:val="00280BBD"/>
    <w:rsid w:val="0028172F"/>
    <w:rsid w:val="00281ED2"/>
    <w:rsid w:val="00295A68"/>
    <w:rsid w:val="00296457"/>
    <w:rsid w:val="00297712"/>
    <w:rsid w:val="002A4863"/>
    <w:rsid w:val="002A735A"/>
    <w:rsid w:val="002B3DAB"/>
    <w:rsid w:val="002B6C94"/>
    <w:rsid w:val="002C64A6"/>
    <w:rsid w:val="002E1D52"/>
    <w:rsid w:val="002E7402"/>
    <w:rsid w:val="002E7C8C"/>
    <w:rsid w:val="003174FE"/>
    <w:rsid w:val="00340BD1"/>
    <w:rsid w:val="00353F5F"/>
    <w:rsid w:val="00357144"/>
    <w:rsid w:val="0036056F"/>
    <w:rsid w:val="0036433B"/>
    <w:rsid w:val="00364509"/>
    <w:rsid w:val="003645CA"/>
    <w:rsid w:val="003810A6"/>
    <w:rsid w:val="003850FC"/>
    <w:rsid w:val="00387E96"/>
    <w:rsid w:val="00387FD4"/>
    <w:rsid w:val="00392DBD"/>
    <w:rsid w:val="0039609D"/>
    <w:rsid w:val="00397252"/>
    <w:rsid w:val="003A7171"/>
    <w:rsid w:val="003B3332"/>
    <w:rsid w:val="003E0B62"/>
    <w:rsid w:val="003E3050"/>
    <w:rsid w:val="003F119C"/>
    <w:rsid w:val="003F4565"/>
    <w:rsid w:val="003F4FE0"/>
    <w:rsid w:val="004033AE"/>
    <w:rsid w:val="004149CA"/>
    <w:rsid w:val="0042016A"/>
    <w:rsid w:val="00431E9B"/>
    <w:rsid w:val="00433635"/>
    <w:rsid w:val="004370CB"/>
    <w:rsid w:val="00450826"/>
    <w:rsid w:val="0045111D"/>
    <w:rsid w:val="0047019F"/>
    <w:rsid w:val="00470CA7"/>
    <w:rsid w:val="00473A7B"/>
    <w:rsid w:val="004879F2"/>
    <w:rsid w:val="004B0567"/>
    <w:rsid w:val="004B2541"/>
    <w:rsid w:val="004B2667"/>
    <w:rsid w:val="004B2D74"/>
    <w:rsid w:val="004B32AE"/>
    <w:rsid w:val="004C0BD1"/>
    <w:rsid w:val="004C7582"/>
    <w:rsid w:val="004E11D0"/>
    <w:rsid w:val="004F029A"/>
    <w:rsid w:val="004F26D7"/>
    <w:rsid w:val="004F6401"/>
    <w:rsid w:val="00504491"/>
    <w:rsid w:val="00504CD2"/>
    <w:rsid w:val="00511C4C"/>
    <w:rsid w:val="00525D93"/>
    <w:rsid w:val="005305E2"/>
    <w:rsid w:val="00532482"/>
    <w:rsid w:val="00541DF0"/>
    <w:rsid w:val="00546299"/>
    <w:rsid w:val="00552B89"/>
    <w:rsid w:val="00555DEE"/>
    <w:rsid w:val="00573232"/>
    <w:rsid w:val="00576032"/>
    <w:rsid w:val="005943A2"/>
    <w:rsid w:val="005A3A7B"/>
    <w:rsid w:val="005C18F2"/>
    <w:rsid w:val="005D1AC5"/>
    <w:rsid w:val="005D262A"/>
    <w:rsid w:val="005E3432"/>
    <w:rsid w:val="005E6D66"/>
    <w:rsid w:val="005F3CC8"/>
    <w:rsid w:val="005F775E"/>
    <w:rsid w:val="00605007"/>
    <w:rsid w:val="006132C4"/>
    <w:rsid w:val="006372C4"/>
    <w:rsid w:val="006423F3"/>
    <w:rsid w:val="006523F1"/>
    <w:rsid w:val="00661E0F"/>
    <w:rsid w:val="00670684"/>
    <w:rsid w:val="00671E91"/>
    <w:rsid w:val="0068578F"/>
    <w:rsid w:val="006900C4"/>
    <w:rsid w:val="00691AEA"/>
    <w:rsid w:val="006A29BC"/>
    <w:rsid w:val="006A5584"/>
    <w:rsid w:val="006B66DD"/>
    <w:rsid w:val="006B7795"/>
    <w:rsid w:val="006C7C3B"/>
    <w:rsid w:val="006D1BE5"/>
    <w:rsid w:val="006E0E3C"/>
    <w:rsid w:val="006E1F1E"/>
    <w:rsid w:val="006F037B"/>
    <w:rsid w:val="00710B14"/>
    <w:rsid w:val="0071497C"/>
    <w:rsid w:val="00714AD1"/>
    <w:rsid w:val="00714EB5"/>
    <w:rsid w:val="007156C3"/>
    <w:rsid w:val="00722234"/>
    <w:rsid w:val="007256B1"/>
    <w:rsid w:val="00741C05"/>
    <w:rsid w:val="00743DBF"/>
    <w:rsid w:val="00750D31"/>
    <w:rsid w:val="007568F7"/>
    <w:rsid w:val="00757883"/>
    <w:rsid w:val="0076221B"/>
    <w:rsid w:val="00762639"/>
    <w:rsid w:val="00770085"/>
    <w:rsid w:val="00774DD3"/>
    <w:rsid w:val="00792273"/>
    <w:rsid w:val="007A0AC1"/>
    <w:rsid w:val="007A0CF8"/>
    <w:rsid w:val="007A41DE"/>
    <w:rsid w:val="007C373E"/>
    <w:rsid w:val="007C6F3E"/>
    <w:rsid w:val="007F1CEF"/>
    <w:rsid w:val="007F2801"/>
    <w:rsid w:val="007F4CCC"/>
    <w:rsid w:val="0080218E"/>
    <w:rsid w:val="00803295"/>
    <w:rsid w:val="00827472"/>
    <w:rsid w:val="0084020D"/>
    <w:rsid w:val="00847EED"/>
    <w:rsid w:val="00853FB0"/>
    <w:rsid w:val="008661F8"/>
    <w:rsid w:val="00882C6E"/>
    <w:rsid w:val="0088512E"/>
    <w:rsid w:val="0089012D"/>
    <w:rsid w:val="00891CEE"/>
    <w:rsid w:val="008A66AF"/>
    <w:rsid w:val="008A6EA6"/>
    <w:rsid w:val="008B2800"/>
    <w:rsid w:val="008B71FA"/>
    <w:rsid w:val="008C1E19"/>
    <w:rsid w:val="008C2B45"/>
    <w:rsid w:val="008C7548"/>
    <w:rsid w:val="008E0311"/>
    <w:rsid w:val="009059C2"/>
    <w:rsid w:val="00911040"/>
    <w:rsid w:val="00912314"/>
    <w:rsid w:val="0091573E"/>
    <w:rsid w:val="0092314B"/>
    <w:rsid w:val="009268D4"/>
    <w:rsid w:val="00926AC6"/>
    <w:rsid w:val="00931433"/>
    <w:rsid w:val="00931665"/>
    <w:rsid w:val="00933142"/>
    <w:rsid w:val="0093681C"/>
    <w:rsid w:val="0093775A"/>
    <w:rsid w:val="00947601"/>
    <w:rsid w:val="009570F7"/>
    <w:rsid w:val="009828E4"/>
    <w:rsid w:val="00984AA8"/>
    <w:rsid w:val="00996F98"/>
    <w:rsid w:val="009A0A6A"/>
    <w:rsid w:val="009A3BA5"/>
    <w:rsid w:val="009A47D3"/>
    <w:rsid w:val="009C5EFD"/>
    <w:rsid w:val="009C6397"/>
    <w:rsid w:val="009D1C5D"/>
    <w:rsid w:val="009D739D"/>
    <w:rsid w:val="009E661C"/>
    <w:rsid w:val="009F04D2"/>
    <w:rsid w:val="009F7B8D"/>
    <w:rsid w:val="00A067BD"/>
    <w:rsid w:val="00A35251"/>
    <w:rsid w:val="00A40199"/>
    <w:rsid w:val="00A56012"/>
    <w:rsid w:val="00A56014"/>
    <w:rsid w:val="00A62FAC"/>
    <w:rsid w:val="00A6446D"/>
    <w:rsid w:val="00A83FD0"/>
    <w:rsid w:val="00A8676C"/>
    <w:rsid w:val="00A967C7"/>
    <w:rsid w:val="00AC0FE1"/>
    <w:rsid w:val="00AC3F81"/>
    <w:rsid w:val="00AD390F"/>
    <w:rsid w:val="00AD445E"/>
    <w:rsid w:val="00AD6E93"/>
    <w:rsid w:val="00AF5A44"/>
    <w:rsid w:val="00B04E48"/>
    <w:rsid w:val="00B14AC2"/>
    <w:rsid w:val="00B302A5"/>
    <w:rsid w:val="00B358FB"/>
    <w:rsid w:val="00B56342"/>
    <w:rsid w:val="00B622AC"/>
    <w:rsid w:val="00B725F4"/>
    <w:rsid w:val="00BB18A2"/>
    <w:rsid w:val="00BB4AB5"/>
    <w:rsid w:val="00BB5B82"/>
    <w:rsid w:val="00BC4399"/>
    <w:rsid w:val="00BD45BF"/>
    <w:rsid w:val="00BD7C68"/>
    <w:rsid w:val="00BF5AD6"/>
    <w:rsid w:val="00C0149B"/>
    <w:rsid w:val="00C10AFE"/>
    <w:rsid w:val="00C21659"/>
    <w:rsid w:val="00C2245B"/>
    <w:rsid w:val="00C25AFC"/>
    <w:rsid w:val="00C25CD2"/>
    <w:rsid w:val="00C416C0"/>
    <w:rsid w:val="00C44E81"/>
    <w:rsid w:val="00C51C02"/>
    <w:rsid w:val="00C5571F"/>
    <w:rsid w:val="00C575E4"/>
    <w:rsid w:val="00C62353"/>
    <w:rsid w:val="00C62BDF"/>
    <w:rsid w:val="00C671C0"/>
    <w:rsid w:val="00C67C30"/>
    <w:rsid w:val="00C70F9E"/>
    <w:rsid w:val="00C749E0"/>
    <w:rsid w:val="00C74B4A"/>
    <w:rsid w:val="00C9380E"/>
    <w:rsid w:val="00C95EAF"/>
    <w:rsid w:val="00CA65B8"/>
    <w:rsid w:val="00CB2A23"/>
    <w:rsid w:val="00CD78A5"/>
    <w:rsid w:val="00CE2F29"/>
    <w:rsid w:val="00CE47CF"/>
    <w:rsid w:val="00CE7A35"/>
    <w:rsid w:val="00CF5EF6"/>
    <w:rsid w:val="00D044D5"/>
    <w:rsid w:val="00D14D0F"/>
    <w:rsid w:val="00D1711C"/>
    <w:rsid w:val="00D27891"/>
    <w:rsid w:val="00D32FCC"/>
    <w:rsid w:val="00D37386"/>
    <w:rsid w:val="00D5306D"/>
    <w:rsid w:val="00D81CD6"/>
    <w:rsid w:val="00D86A46"/>
    <w:rsid w:val="00D91019"/>
    <w:rsid w:val="00D978D8"/>
    <w:rsid w:val="00DB0A9F"/>
    <w:rsid w:val="00DC28B2"/>
    <w:rsid w:val="00DE1544"/>
    <w:rsid w:val="00DE38AF"/>
    <w:rsid w:val="00DF0CF9"/>
    <w:rsid w:val="00DF5FFC"/>
    <w:rsid w:val="00E12433"/>
    <w:rsid w:val="00E240CF"/>
    <w:rsid w:val="00E253D4"/>
    <w:rsid w:val="00E25EA5"/>
    <w:rsid w:val="00E511D6"/>
    <w:rsid w:val="00E5466D"/>
    <w:rsid w:val="00E6162E"/>
    <w:rsid w:val="00E6268D"/>
    <w:rsid w:val="00E643EB"/>
    <w:rsid w:val="00E74FDE"/>
    <w:rsid w:val="00E76CE6"/>
    <w:rsid w:val="00E92B28"/>
    <w:rsid w:val="00EB322C"/>
    <w:rsid w:val="00EB5783"/>
    <w:rsid w:val="00EB66AD"/>
    <w:rsid w:val="00ED6452"/>
    <w:rsid w:val="00EF435F"/>
    <w:rsid w:val="00F0055D"/>
    <w:rsid w:val="00F14D84"/>
    <w:rsid w:val="00F276F3"/>
    <w:rsid w:val="00F35383"/>
    <w:rsid w:val="00F56AF4"/>
    <w:rsid w:val="00F62D6A"/>
    <w:rsid w:val="00F65722"/>
    <w:rsid w:val="00F81A31"/>
    <w:rsid w:val="00F81F0E"/>
    <w:rsid w:val="00F8573B"/>
    <w:rsid w:val="00FC4913"/>
    <w:rsid w:val="00FC57CF"/>
    <w:rsid w:val="00FC7028"/>
    <w:rsid w:val="00FE56B4"/>
    <w:rsid w:val="00FF12EB"/>
    <w:rsid w:val="00FF7F7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767C5"/>
  <w15:docId w15:val="{F830B40D-18A7-41F9-AA8D-DB1263A1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C0BD1"/>
    <w:rPr>
      <w:rFonts w:asciiTheme="minorHAnsi" w:hAnsiTheme="minorHAnsi"/>
      <w:sz w:val="22"/>
      <w:szCs w:val="24"/>
    </w:rPr>
  </w:style>
  <w:style w:type="paragraph" w:styleId="berschrift1">
    <w:name w:val="heading 1"/>
    <w:basedOn w:val="Standard"/>
    <w:link w:val="berschrift1Zchn"/>
    <w:uiPriority w:val="9"/>
    <w:qFormat/>
    <w:rsid w:val="00792273"/>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next w:val="Standard"/>
    <w:link w:val="berschrift2Zchn"/>
    <w:semiHidden/>
    <w:unhideWhenUsed/>
    <w:qFormat/>
    <w:rsid w:val="009314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93143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B32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rsid w:val="009A3BA5"/>
    <w:rPr>
      <w:rFonts w:ascii="Tahoma" w:hAnsi="Tahoma" w:cs="Tahoma"/>
      <w:sz w:val="16"/>
      <w:szCs w:val="16"/>
    </w:rPr>
  </w:style>
  <w:style w:type="character" w:customStyle="1" w:styleId="DokumentstrukturZchn">
    <w:name w:val="Dokumentstruktur Zchn"/>
    <w:basedOn w:val="Absatz-Standardschriftart"/>
    <w:link w:val="Dokumentstruktur"/>
    <w:rsid w:val="009A3BA5"/>
    <w:rPr>
      <w:rFonts w:ascii="Tahoma" w:hAnsi="Tahoma" w:cs="Tahoma"/>
      <w:sz w:val="16"/>
      <w:szCs w:val="16"/>
    </w:rPr>
  </w:style>
  <w:style w:type="paragraph" w:styleId="Kopfzeile">
    <w:name w:val="header"/>
    <w:basedOn w:val="Standard"/>
    <w:link w:val="KopfzeileZchn"/>
    <w:rsid w:val="00FC4913"/>
    <w:pPr>
      <w:tabs>
        <w:tab w:val="center" w:pos="4536"/>
        <w:tab w:val="right" w:pos="9072"/>
      </w:tabs>
    </w:pPr>
  </w:style>
  <w:style w:type="character" w:customStyle="1" w:styleId="KopfzeileZchn">
    <w:name w:val="Kopfzeile Zchn"/>
    <w:basedOn w:val="Absatz-Standardschriftart"/>
    <w:link w:val="Kopfzeile"/>
    <w:rsid w:val="00FC4913"/>
    <w:rPr>
      <w:sz w:val="24"/>
      <w:szCs w:val="24"/>
    </w:rPr>
  </w:style>
  <w:style w:type="paragraph" w:styleId="Fuzeile">
    <w:name w:val="footer"/>
    <w:basedOn w:val="Standard"/>
    <w:link w:val="FuzeileZchn"/>
    <w:rsid w:val="00FC4913"/>
    <w:pPr>
      <w:tabs>
        <w:tab w:val="center" w:pos="4536"/>
        <w:tab w:val="right" w:pos="9072"/>
      </w:tabs>
    </w:pPr>
  </w:style>
  <w:style w:type="character" w:customStyle="1" w:styleId="FuzeileZchn">
    <w:name w:val="Fußzeile Zchn"/>
    <w:basedOn w:val="Absatz-Standardschriftart"/>
    <w:link w:val="Fuzeile"/>
    <w:rsid w:val="00FC4913"/>
    <w:rPr>
      <w:sz w:val="24"/>
      <w:szCs w:val="24"/>
    </w:rPr>
  </w:style>
  <w:style w:type="paragraph" w:styleId="Sprechblasentext">
    <w:name w:val="Balloon Text"/>
    <w:basedOn w:val="Standard"/>
    <w:link w:val="SprechblasentextZchn"/>
    <w:rsid w:val="00FC4913"/>
    <w:rPr>
      <w:rFonts w:ascii="Tahoma" w:hAnsi="Tahoma" w:cs="Tahoma"/>
      <w:sz w:val="16"/>
      <w:szCs w:val="16"/>
    </w:rPr>
  </w:style>
  <w:style w:type="character" w:customStyle="1" w:styleId="SprechblasentextZchn">
    <w:name w:val="Sprechblasentext Zchn"/>
    <w:basedOn w:val="Absatz-Standardschriftart"/>
    <w:link w:val="Sprechblasentext"/>
    <w:rsid w:val="00FC4913"/>
    <w:rPr>
      <w:rFonts w:ascii="Tahoma" w:hAnsi="Tahoma" w:cs="Tahoma"/>
      <w:sz w:val="16"/>
      <w:szCs w:val="16"/>
    </w:rPr>
  </w:style>
  <w:style w:type="character" w:styleId="Platzhaltertext">
    <w:name w:val="Placeholder Text"/>
    <w:basedOn w:val="Absatz-Standardschriftart"/>
    <w:uiPriority w:val="99"/>
    <w:semiHidden/>
    <w:rsid w:val="00D14D0F"/>
    <w:rPr>
      <w:color w:val="808080"/>
    </w:rPr>
  </w:style>
  <w:style w:type="paragraph" w:customStyle="1" w:styleId="lead-text">
    <w:name w:val="lead-text"/>
    <w:basedOn w:val="Standard"/>
    <w:rsid w:val="00792273"/>
    <w:pPr>
      <w:spacing w:before="100" w:beforeAutospacing="1" w:after="100" w:afterAutospacing="1"/>
    </w:pPr>
    <w:rPr>
      <w:rFonts w:ascii="Times New Roman" w:hAnsi="Times New Roman"/>
      <w:sz w:val="24"/>
    </w:rPr>
  </w:style>
  <w:style w:type="paragraph" w:styleId="StandardWeb">
    <w:name w:val="Normal (Web)"/>
    <w:basedOn w:val="Standard"/>
    <w:uiPriority w:val="99"/>
    <w:unhideWhenUsed/>
    <w:rsid w:val="00792273"/>
    <w:pPr>
      <w:spacing w:before="100" w:beforeAutospacing="1" w:after="100" w:afterAutospacing="1"/>
    </w:pPr>
    <w:rPr>
      <w:rFonts w:ascii="Times New Roman" w:hAnsi="Times New Roman"/>
      <w:sz w:val="24"/>
    </w:rPr>
  </w:style>
  <w:style w:type="character" w:customStyle="1" w:styleId="berschrift1Zchn">
    <w:name w:val="Überschrift 1 Zchn"/>
    <w:basedOn w:val="Absatz-Standardschriftart"/>
    <w:link w:val="berschrift1"/>
    <w:uiPriority w:val="9"/>
    <w:rsid w:val="00792273"/>
    <w:rPr>
      <w:b/>
      <w:bCs/>
      <w:kern w:val="36"/>
      <w:sz w:val="48"/>
      <w:szCs w:val="48"/>
    </w:rPr>
  </w:style>
  <w:style w:type="character" w:styleId="Fett">
    <w:name w:val="Strong"/>
    <w:basedOn w:val="Absatz-Standardschriftart"/>
    <w:uiPriority w:val="22"/>
    <w:qFormat/>
    <w:rsid w:val="00792273"/>
    <w:rPr>
      <w:b/>
      <w:bCs/>
    </w:rPr>
  </w:style>
  <w:style w:type="character" w:styleId="Hyperlink">
    <w:name w:val="Hyperlink"/>
    <w:basedOn w:val="Absatz-Standardschriftart"/>
    <w:uiPriority w:val="99"/>
    <w:unhideWhenUsed/>
    <w:rsid w:val="000133D7"/>
    <w:rPr>
      <w:color w:val="0000FF"/>
      <w:u w:val="single"/>
    </w:rPr>
  </w:style>
  <w:style w:type="paragraph" w:styleId="berarbeitung">
    <w:name w:val="Revision"/>
    <w:hidden/>
    <w:uiPriority w:val="99"/>
    <w:semiHidden/>
    <w:rsid w:val="007F4CCC"/>
    <w:rPr>
      <w:rFonts w:asciiTheme="minorHAnsi" w:hAnsiTheme="minorHAnsi"/>
      <w:sz w:val="22"/>
      <w:szCs w:val="24"/>
    </w:rPr>
  </w:style>
  <w:style w:type="character" w:styleId="Hervorhebung">
    <w:name w:val="Emphasis"/>
    <w:basedOn w:val="Absatz-Standardschriftart"/>
    <w:uiPriority w:val="20"/>
    <w:qFormat/>
    <w:rsid w:val="00A967C7"/>
    <w:rPr>
      <w:i/>
      <w:iCs/>
    </w:rPr>
  </w:style>
  <w:style w:type="character" w:customStyle="1" w:styleId="berschrift2Zchn">
    <w:name w:val="Überschrift 2 Zchn"/>
    <w:basedOn w:val="Absatz-Standardschriftart"/>
    <w:link w:val="berschrift2"/>
    <w:semiHidden/>
    <w:rsid w:val="00931433"/>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93143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931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1229">
      <w:bodyDiv w:val="1"/>
      <w:marLeft w:val="0"/>
      <w:marRight w:val="0"/>
      <w:marTop w:val="0"/>
      <w:marBottom w:val="0"/>
      <w:divBdr>
        <w:top w:val="none" w:sz="0" w:space="0" w:color="auto"/>
        <w:left w:val="none" w:sz="0" w:space="0" w:color="auto"/>
        <w:bottom w:val="none" w:sz="0" w:space="0" w:color="auto"/>
        <w:right w:val="none" w:sz="0" w:space="0" w:color="auto"/>
      </w:divBdr>
      <w:divsChild>
        <w:div w:id="1909683779">
          <w:marLeft w:val="0"/>
          <w:marRight w:val="0"/>
          <w:marTop w:val="0"/>
          <w:marBottom w:val="0"/>
          <w:divBdr>
            <w:top w:val="none" w:sz="0" w:space="0" w:color="auto"/>
            <w:left w:val="none" w:sz="0" w:space="0" w:color="auto"/>
            <w:bottom w:val="none" w:sz="0" w:space="0" w:color="auto"/>
            <w:right w:val="none" w:sz="0" w:space="0" w:color="auto"/>
          </w:divBdr>
        </w:div>
      </w:divsChild>
    </w:div>
    <w:div w:id="179928005">
      <w:bodyDiv w:val="1"/>
      <w:marLeft w:val="0"/>
      <w:marRight w:val="0"/>
      <w:marTop w:val="0"/>
      <w:marBottom w:val="0"/>
      <w:divBdr>
        <w:top w:val="none" w:sz="0" w:space="0" w:color="auto"/>
        <w:left w:val="none" w:sz="0" w:space="0" w:color="auto"/>
        <w:bottom w:val="none" w:sz="0" w:space="0" w:color="auto"/>
        <w:right w:val="none" w:sz="0" w:space="0" w:color="auto"/>
      </w:divBdr>
    </w:div>
    <w:div w:id="238179741">
      <w:bodyDiv w:val="1"/>
      <w:marLeft w:val="0"/>
      <w:marRight w:val="0"/>
      <w:marTop w:val="0"/>
      <w:marBottom w:val="0"/>
      <w:divBdr>
        <w:top w:val="none" w:sz="0" w:space="0" w:color="auto"/>
        <w:left w:val="none" w:sz="0" w:space="0" w:color="auto"/>
        <w:bottom w:val="none" w:sz="0" w:space="0" w:color="auto"/>
        <w:right w:val="none" w:sz="0" w:space="0" w:color="auto"/>
      </w:divBdr>
    </w:div>
    <w:div w:id="257367952">
      <w:bodyDiv w:val="1"/>
      <w:marLeft w:val="0"/>
      <w:marRight w:val="0"/>
      <w:marTop w:val="0"/>
      <w:marBottom w:val="0"/>
      <w:divBdr>
        <w:top w:val="none" w:sz="0" w:space="0" w:color="auto"/>
        <w:left w:val="none" w:sz="0" w:space="0" w:color="auto"/>
        <w:bottom w:val="none" w:sz="0" w:space="0" w:color="auto"/>
        <w:right w:val="none" w:sz="0" w:space="0" w:color="auto"/>
      </w:divBdr>
    </w:div>
    <w:div w:id="296617581">
      <w:bodyDiv w:val="1"/>
      <w:marLeft w:val="0"/>
      <w:marRight w:val="0"/>
      <w:marTop w:val="0"/>
      <w:marBottom w:val="0"/>
      <w:divBdr>
        <w:top w:val="none" w:sz="0" w:space="0" w:color="auto"/>
        <w:left w:val="none" w:sz="0" w:space="0" w:color="auto"/>
        <w:bottom w:val="none" w:sz="0" w:space="0" w:color="auto"/>
        <w:right w:val="none" w:sz="0" w:space="0" w:color="auto"/>
      </w:divBdr>
    </w:div>
    <w:div w:id="338192939">
      <w:bodyDiv w:val="1"/>
      <w:marLeft w:val="0"/>
      <w:marRight w:val="0"/>
      <w:marTop w:val="0"/>
      <w:marBottom w:val="0"/>
      <w:divBdr>
        <w:top w:val="none" w:sz="0" w:space="0" w:color="auto"/>
        <w:left w:val="none" w:sz="0" w:space="0" w:color="auto"/>
        <w:bottom w:val="none" w:sz="0" w:space="0" w:color="auto"/>
        <w:right w:val="none" w:sz="0" w:space="0" w:color="auto"/>
      </w:divBdr>
    </w:div>
    <w:div w:id="542905324">
      <w:bodyDiv w:val="1"/>
      <w:marLeft w:val="0"/>
      <w:marRight w:val="0"/>
      <w:marTop w:val="0"/>
      <w:marBottom w:val="0"/>
      <w:divBdr>
        <w:top w:val="none" w:sz="0" w:space="0" w:color="auto"/>
        <w:left w:val="none" w:sz="0" w:space="0" w:color="auto"/>
        <w:bottom w:val="none" w:sz="0" w:space="0" w:color="auto"/>
        <w:right w:val="none" w:sz="0" w:space="0" w:color="auto"/>
      </w:divBdr>
    </w:div>
    <w:div w:id="558563830">
      <w:bodyDiv w:val="1"/>
      <w:marLeft w:val="0"/>
      <w:marRight w:val="0"/>
      <w:marTop w:val="0"/>
      <w:marBottom w:val="0"/>
      <w:divBdr>
        <w:top w:val="none" w:sz="0" w:space="0" w:color="auto"/>
        <w:left w:val="none" w:sz="0" w:space="0" w:color="auto"/>
        <w:bottom w:val="none" w:sz="0" w:space="0" w:color="auto"/>
        <w:right w:val="none" w:sz="0" w:space="0" w:color="auto"/>
      </w:divBdr>
    </w:div>
    <w:div w:id="766652752">
      <w:bodyDiv w:val="1"/>
      <w:marLeft w:val="0"/>
      <w:marRight w:val="0"/>
      <w:marTop w:val="0"/>
      <w:marBottom w:val="0"/>
      <w:divBdr>
        <w:top w:val="none" w:sz="0" w:space="0" w:color="auto"/>
        <w:left w:val="none" w:sz="0" w:space="0" w:color="auto"/>
        <w:bottom w:val="none" w:sz="0" w:space="0" w:color="auto"/>
        <w:right w:val="none" w:sz="0" w:space="0" w:color="auto"/>
      </w:divBdr>
    </w:div>
    <w:div w:id="846217396">
      <w:bodyDiv w:val="1"/>
      <w:marLeft w:val="0"/>
      <w:marRight w:val="0"/>
      <w:marTop w:val="0"/>
      <w:marBottom w:val="0"/>
      <w:divBdr>
        <w:top w:val="none" w:sz="0" w:space="0" w:color="auto"/>
        <w:left w:val="none" w:sz="0" w:space="0" w:color="auto"/>
        <w:bottom w:val="none" w:sz="0" w:space="0" w:color="auto"/>
        <w:right w:val="none" w:sz="0" w:space="0" w:color="auto"/>
      </w:divBdr>
    </w:div>
    <w:div w:id="1010833905">
      <w:bodyDiv w:val="1"/>
      <w:marLeft w:val="0"/>
      <w:marRight w:val="0"/>
      <w:marTop w:val="0"/>
      <w:marBottom w:val="0"/>
      <w:divBdr>
        <w:top w:val="none" w:sz="0" w:space="0" w:color="auto"/>
        <w:left w:val="none" w:sz="0" w:space="0" w:color="auto"/>
        <w:bottom w:val="none" w:sz="0" w:space="0" w:color="auto"/>
        <w:right w:val="none" w:sz="0" w:space="0" w:color="auto"/>
      </w:divBdr>
    </w:div>
    <w:div w:id="1036779671">
      <w:bodyDiv w:val="1"/>
      <w:marLeft w:val="0"/>
      <w:marRight w:val="0"/>
      <w:marTop w:val="0"/>
      <w:marBottom w:val="0"/>
      <w:divBdr>
        <w:top w:val="none" w:sz="0" w:space="0" w:color="auto"/>
        <w:left w:val="none" w:sz="0" w:space="0" w:color="auto"/>
        <w:bottom w:val="none" w:sz="0" w:space="0" w:color="auto"/>
        <w:right w:val="none" w:sz="0" w:space="0" w:color="auto"/>
      </w:divBdr>
    </w:div>
    <w:div w:id="1071931719">
      <w:bodyDiv w:val="1"/>
      <w:marLeft w:val="0"/>
      <w:marRight w:val="0"/>
      <w:marTop w:val="0"/>
      <w:marBottom w:val="0"/>
      <w:divBdr>
        <w:top w:val="none" w:sz="0" w:space="0" w:color="auto"/>
        <w:left w:val="none" w:sz="0" w:space="0" w:color="auto"/>
        <w:bottom w:val="none" w:sz="0" w:space="0" w:color="auto"/>
        <w:right w:val="none" w:sz="0" w:space="0" w:color="auto"/>
      </w:divBdr>
    </w:div>
    <w:div w:id="1166940672">
      <w:bodyDiv w:val="1"/>
      <w:marLeft w:val="0"/>
      <w:marRight w:val="0"/>
      <w:marTop w:val="0"/>
      <w:marBottom w:val="0"/>
      <w:divBdr>
        <w:top w:val="none" w:sz="0" w:space="0" w:color="auto"/>
        <w:left w:val="none" w:sz="0" w:space="0" w:color="auto"/>
        <w:bottom w:val="none" w:sz="0" w:space="0" w:color="auto"/>
        <w:right w:val="none" w:sz="0" w:space="0" w:color="auto"/>
      </w:divBdr>
      <w:divsChild>
        <w:div w:id="485556866">
          <w:marLeft w:val="0"/>
          <w:marRight w:val="0"/>
          <w:marTop w:val="0"/>
          <w:marBottom w:val="150"/>
          <w:divBdr>
            <w:top w:val="none" w:sz="0" w:space="0" w:color="auto"/>
            <w:left w:val="none" w:sz="0" w:space="0" w:color="auto"/>
            <w:bottom w:val="none" w:sz="0" w:space="0" w:color="auto"/>
            <w:right w:val="none" w:sz="0" w:space="0" w:color="auto"/>
          </w:divBdr>
          <w:divsChild>
            <w:div w:id="1846744810">
              <w:marLeft w:val="0"/>
              <w:marRight w:val="225"/>
              <w:marTop w:val="0"/>
              <w:marBottom w:val="300"/>
              <w:divBdr>
                <w:top w:val="none" w:sz="0" w:space="0" w:color="auto"/>
                <w:left w:val="none" w:sz="0" w:space="0" w:color="auto"/>
                <w:bottom w:val="none" w:sz="0" w:space="0" w:color="auto"/>
                <w:right w:val="none" w:sz="0" w:space="0" w:color="auto"/>
              </w:divBdr>
            </w:div>
            <w:div w:id="223487364">
              <w:marLeft w:val="0"/>
              <w:marRight w:val="225"/>
              <w:marTop w:val="0"/>
              <w:marBottom w:val="300"/>
              <w:divBdr>
                <w:top w:val="none" w:sz="0" w:space="0" w:color="auto"/>
                <w:left w:val="none" w:sz="0" w:space="0" w:color="auto"/>
                <w:bottom w:val="none" w:sz="0" w:space="0" w:color="auto"/>
                <w:right w:val="none" w:sz="0" w:space="0" w:color="auto"/>
              </w:divBdr>
            </w:div>
            <w:div w:id="1032919116">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 w:id="1394349899">
      <w:bodyDiv w:val="1"/>
      <w:marLeft w:val="0"/>
      <w:marRight w:val="0"/>
      <w:marTop w:val="0"/>
      <w:marBottom w:val="0"/>
      <w:divBdr>
        <w:top w:val="none" w:sz="0" w:space="0" w:color="auto"/>
        <w:left w:val="none" w:sz="0" w:space="0" w:color="auto"/>
        <w:bottom w:val="none" w:sz="0" w:space="0" w:color="auto"/>
        <w:right w:val="none" w:sz="0" w:space="0" w:color="auto"/>
      </w:divBdr>
    </w:div>
    <w:div w:id="1427382977">
      <w:bodyDiv w:val="1"/>
      <w:marLeft w:val="0"/>
      <w:marRight w:val="0"/>
      <w:marTop w:val="0"/>
      <w:marBottom w:val="0"/>
      <w:divBdr>
        <w:top w:val="none" w:sz="0" w:space="0" w:color="auto"/>
        <w:left w:val="none" w:sz="0" w:space="0" w:color="auto"/>
        <w:bottom w:val="none" w:sz="0" w:space="0" w:color="auto"/>
        <w:right w:val="none" w:sz="0" w:space="0" w:color="auto"/>
      </w:divBdr>
    </w:div>
    <w:div w:id="1712656347">
      <w:bodyDiv w:val="1"/>
      <w:marLeft w:val="0"/>
      <w:marRight w:val="0"/>
      <w:marTop w:val="0"/>
      <w:marBottom w:val="0"/>
      <w:divBdr>
        <w:top w:val="none" w:sz="0" w:space="0" w:color="auto"/>
        <w:left w:val="none" w:sz="0" w:space="0" w:color="auto"/>
        <w:bottom w:val="none" w:sz="0" w:space="0" w:color="auto"/>
        <w:right w:val="none" w:sz="0" w:space="0" w:color="auto"/>
      </w:divBdr>
    </w:div>
    <w:div w:id="1924803508">
      <w:bodyDiv w:val="1"/>
      <w:marLeft w:val="0"/>
      <w:marRight w:val="0"/>
      <w:marTop w:val="0"/>
      <w:marBottom w:val="0"/>
      <w:divBdr>
        <w:top w:val="none" w:sz="0" w:space="0" w:color="auto"/>
        <w:left w:val="none" w:sz="0" w:space="0" w:color="auto"/>
        <w:bottom w:val="none" w:sz="0" w:space="0" w:color="auto"/>
        <w:right w:val="none" w:sz="0" w:space="0" w:color="auto"/>
      </w:divBdr>
    </w:div>
    <w:div w:id="195016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4329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Auf dem Kopfbogen der juristichen Person</vt:lpstr>
    </vt:vector>
  </TitlesOfParts>
  <Company>ART+COM AG</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dem Kopfbogen der juristichen Person</dc:title>
  <dc:creator>Kai Sulkowski</dc:creator>
  <cp:lastModifiedBy>Kai Sulkowski</cp:lastModifiedBy>
  <cp:revision>21</cp:revision>
  <cp:lastPrinted>2013-10-10T08:32:00Z</cp:lastPrinted>
  <dcterms:created xsi:type="dcterms:W3CDTF">2024-09-03T15:10:00Z</dcterms:created>
  <dcterms:modified xsi:type="dcterms:W3CDTF">2026-09-22T11:50:00Z</dcterms:modified>
</cp:coreProperties>
</file>